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76F9B"/>
  <w:body>
    <w:p w:rsidR="00CD27B8" w:rsidRPr="0069774B" w:rsidRDefault="001E7255" w:rsidP="00CD27B8">
      <w:pPr>
        <w:jc w:val="center"/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</w:pPr>
      <w:r>
        <w:rPr>
          <w:rFonts w:ascii="Century Gothic" w:hAnsi="Century Gothic"/>
          <w:noProof/>
          <w:color w:val="F2F2F2" w:themeColor="background1" w:themeShade="F2"/>
          <w:kern w:val="36"/>
          <w:sz w:val="56"/>
          <w:szCs w:val="5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608330</wp:posOffset>
            </wp:positionV>
            <wp:extent cx="5081905" cy="5081905"/>
            <wp:effectExtent l="0" t="0" r="0" b="0"/>
            <wp:wrapNone/>
            <wp:docPr id="4" name="Obraz 4" descr="Figurka siedz&amp;aogon;cego ibisa (du&amp;zdot;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ka siedz&amp;aogon;cego ibisa (du&amp;zdot;a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  <w:t>Figurka siedzącego ibisa</w:t>
      </w:r>
    </w:p>
    <w:p w:rsidR="007D44EB" w:rsidRDefault="007D44E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69774B" w:rsidRDefault="0069774B"/>
    <w:p w:rsidR="001E7255" w:rsidRDefault="001E7255" w:rsidP="0069774B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69774B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69774B" w:rsidRPr="0069774B" w:rsidRDefault="0069774B" w:rsidP="0069774B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1E7255" w:rsidRPr="001E7255">
        <w:rPr>
          <w:rStyle w:val="labelcontent"/>
          <w:rFonts w:ascii="Century Gothic" w:hAnsi="Century Gothic"/>
          <w:sz w:val="32"/>
          <w:szCs w:val="32"/>
        </w:rPr>
        <w:t>XXVI dynastia (ok. 664–525 p.n.e.)</w:t>
      </w:r>
    </w:p>
    <w:p w:rsidR="0069774B" w:rsidRPr="0069774B" w:rsidRDefault="0069774B" w:rsidP="0069774B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proofErr w:type="spellStart"/>
      <w:r w:rsidR="001E7255" w:rsidRPr="001E7255">
        <w:rPr>
          <w:rStyle w:val="labelcontent"/>
          <w:rFonts w:ascii="Century Gothic" w:hAnsi="Century Gothic"/>
          <w:sz w:val="32"/>
          <w:szCs w:val="32"/>
        </w:rPr>
        <w:t>Hermopolis</w:t>
      </w:r>
      <w:proofErr w:type="spellEnd"/>
      <w:r w:rsidR="001E7255" w:rsidRPr="001E7255">
        <w:rPr>
          <w:rStyle w:val="labelcontent"/>
          <w:rFonts w:ascii="Century Gothic" w:hAnsi="Century Gothic"/>
          <w:sz w:val="32"/>
          <w:szCs w:val="32"/>
        </w:rPr>
        <w:t xml:space="preserve"> (obecnie: </w:t>
      </w:r>
      <w:proofErr w:type="spellStart"/>
      <w:r w:rsidR="001E7255" w:rsidRPr="001E7255">
        <w:rPr>
          <w:rStyle w:val="labelcontent"/>
          <w:rFonts w:ascii="Century Gothic" w:hAnsi="Century Gothic"/>
          <w:sz w:val="32"/>
          <w:szCs w:val="32"/>
        </w:rPr>
        <w:t>Tuna</w:t>
      </w:r>
      <w:proofErr w:type="spellEnd"/>
      <w:r w:rsidR="001E7255" w:rsidRPr="001E7255">
        <w:rPr>
          <w:rStyle w:val="labelcontent"/>
          <w:rFonts w:ascii="Century Gothic" w:hAnsi="Century Gothic"/>
          <w:sz w:val="32"/>
          <w:szCs w:val="32"/>
        </w:rPr>
        <w:t xml:space="preserve"> </w:t>
      </w:r>
      <w:proofErr w:type="spellStart"/>
      <w:r w:rsidR="001E7255" w:rsidRPr="001E7255">
        <w:rPr>
          <w:rStyle w:val="labelcontent"/>
          <w:rFonts w:ascii="Century Gothic" w:hAnsi="Century Gothic"/>
          <w:sz w:val="32"/>
          <w:szCs w:val="32"/>
        </w:rPr>
        <w:t>el-Gebei</w:t>
      </w:r>
      <w:proofErr w:type="spellEnd"/>
      <w:r w:rsidR="001E7255" w:rsidRPr="001E7255">
        <w:rPr>
          <w:rStyle w:val="labelcontent"/>
          <w:rFonts w:ascii="Century Gothic" w:hAnsi="Century Gothic"/>
          <w:sz w:val="32"/>
          <w:szCs w:val="32"/>
        </w:rPr>
        <w:t>)</w:t>
      </w:r>
    </w:p>
    <w:p w:rsidR="0069774B" w:rsidRPr="0069774B" w:rsidRDefault="0069774B" w:rsidP="0069774B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 xml:space="preserve">Muzeum </w:t>
      </w:r>
      <w:r w:rsidR="001E7255">
        <w:rPr>
          <w:rStyle w:val="label"/>
          <w:rFonts w:ascii="Century Gothic" w:hAnsi="Century Gothic"/>
          <w:color w:val="000000" w:themeColor="text1"/>
          <w:sz w:val="32"/>
          <w:szCs w:val="32"/>
        </w:rPr>
        <w:t>Archeologiczne w Krakowie</w:t>
      </w:r>
    </w:p>
    <w:p w:rsidR="0069774B" w:rsidRPr="0069774B" w:rsidRDefault="0069774B" w:rsidP="0069774B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1E7255">
        <w:rPr>
          <w:rStyle w:val="label"/>
          <w:rFonts w:ascii="Century Gothic" w:hAnsi="Century Gothic"/>
          <w:color w:val="000000" w:themeColor="text1"/>
          <w:sz w:val="32"/>
          <w:szCs w:val="32"/>
        </w:rPr>
        <w:t>-</w:t>
      </w:r>
    </w:p>
    <w:p w:rsidR="0069774B" w:rsidRPr="001E7255" w:rsidRDefault="0069774B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 xml:space="preserve">Ibis był ucieleśnieniem boga </w:t>
      </w:r>
      <w:proofErr w:type="spellStart"/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>Thota</w:t>
      </w:r>
      <w:proofErr w:type="spellEnd"/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>, p</w:t>
      </w:r>
      <w:r w:rsidR="001E7255">
        <w:rPr>
          <w:rStyle w:val="object-article-intro"/>
          <w:rFonts w:ascii="Century Gothic" w:hAnsi="Century Gothic"/>
          <w:sz w:val="32"/>
          <w:szCs w:val="32"/>
        </w:rPr>
        <w:t xml:space="preserve">atrona skrybów. </w:t>
      </w:r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 xml:space="preserve">Głowę, dziób, szyję i nogi ptaka wykonano z brązu. Tułów natomiast jest drewniany, a w jego wnętrzu znajdują sie zwłoki ibisa zawinięte w płótno. Figurka jest więc nie tylko rzeźbą, ale też rodzajem sarkofagu dla symbolizującego boga </w:t>
      </w:r>
      <w:proofErr w:type="spellStart"/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>Thota</w:t>
      </w:r>
      <w:proofErr w:type="spellEnd"/>
      <w:r w:rsidR="001E7255" w:rsidRPr="001E7255">
        <w:rPr>
          <w:rStyle w:val="object-article-intro"/>
          <w:rFonts w:ascii="Century Gothic" w:hAnsi="Century Gothic"/>
          <w:sz w:val="32"/>
          <w:szCs w:val="32"/>
        </w:rPr>
        <w:t xml:space="preserve"> zwierzęcia.</w:t>
      </w:r>
    </w:p>
    <w:p w:rsidR="001E7255" w:rsidRPr="00F61BB3" w:rsidRDefault="001E7255" w:rsidP="001E7255">
      <w:pPr>
        <w:jc w:val="center"/>
        <w:rPr>
          <w:rFonts w:ascii="Century Gothic" w:hAnsi="Century Gothic"/>
          <w:color w:val="FFFFFF" w:themeColor="background1"/>
          <w:sz w:val="48"/>
          <w:szCs w:val="48"/>
        </w:rPr>
      </w:pPr>
      <w:r w:rsidRPr="00F61BB3">
        <w:rPr>
          <w:rFonts w:ascii="Century Gothic" w:hAnsi="Century Gothic"/>
          <w:color w:val="FFFFFF" w:themeColor="background1"/>
          <w:sz w:val="48"/>
          <w:szCs w:val="48"/>
        </w:rPr>
        <w:lastRenderedPageBreak/>
        <w:t>Zegar stołowy w obudowie w kształcie figury huzara węgierskiego</w:t>
      </w:r>
    </w:p>
    <w:p w:rsidR="001E7255" w:rsidRDefault="001E7255" w:rsidP="001E7255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461172</wp:posOffset>
            </wp:positionH>
            <wp:positionV relativeFrom="paragraph">
              <wp:posOffset>960</wp:posOffset>
            </wp:positionV>
            <wp:extent cx="4944140" cy="4944139"/>
            <wp:effectExtent l="0" t="0" r="0" b="0"/>
            <wp:wrapNone/>
            <wp:docPr id="7" name="Obraz 7" descr="Zegar sto&amp;lstrok;owy w obudowie w kszta&amp;lstrok;cie figury huzara w&amp;eogon;gie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gar sto&amp;lstrok;owy w obudowie w kszta&amp;lstrok;cie figury huzara w&amp;eogon;gierskie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49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1E7255" w:rsidRPr="0069774B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F61BB3">
        <w:rPr>
          <w:rStyle w:val="labelcontent"/>
          <w:rFonts w:ascii="Century Gothic" w:hAnsi="Century Gothic"/>
          <w:sz w:val="32"/>
          <w:szCs w:val="32"/>
        </w:rPr>
        <w:t>1791</w:t>
      </w:r>
    </w:p>
    <w:p w:rsidR="00F61BB3" w:rsidRDefault="001E7255" w:rsidP="001E7255">
      <w:pPr>
        <w:ind w:left="-567" w:right="-426"/>
        <w:jc w:val="center"/>
        <w:rPr>
          <w:rStyle w:val="labelcontent"/>
          <w:rFonts w:ascii="Century Gothic" w:hAnsi="Century Gothic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F61BB3">
        <w:rPr>
          <w:rStyle w:val="labelcontent"/>
          <w:rFonts w:ascii="Century Gothic" w:hAnsi="Century Gothic"/>
          <w:sz w:val="32"/>
          <w:szCs w:val="32"/>
        </w:rPr>
        <w:t xml:space="preserve">Bochnia </w:t>
      </w:r>
    </w:p>
    <w:p w:rsidR="001E7255" w:rsidRPr="0069774B" w:rsidRDefault="001E7255" w:rsidP="001E7255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 xml:space="preserve">Muzeum </w:t>
      </w:r>
      <w:r w:rsidR="00F61BB3">
        <w:rPr>
          <w:rStyle w:val="label"/>
          <w:rFonts w:ascii="Century Gothic" w:hAnsi="Century Gothic"/>
          <w:color w:val="000000" w:themeColor="text1"/>
          <w:sz w:val="32"/>
          <w:szCs w:val="32"/>
        </w:rPr>
        <w:t>Historyczne Miasta Krakowa</w:t>
      </w:r>
    </w:p>
    <w:p w:rsidR="001E7255" w:rsidRPr="0069774B" w:rsidRDefault="001E7255" w:rsidP="001E7255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F61BB3">
        <w:rPr>
          <w:rStyle w:val="label"/>
          <w:rFonts w:ascii="Century Gothic" w:hAnsi="Century Gothic"/>
          <w:color w:val="000000" w:themeColor="text1"/>
          <w:sz w:val="32"/>
          <w:szCs w:val="32"/>
        </w:rPr>
        <w:t xml:space="preserve">Michał </w:t>
      </w:r>
      <w:proofErr w:type="spellStart"/>
      <w:r w:rsidR="00F61BB3">
        <w:rPr>
          <w:rStyle w:val="label"/>
          <w:rFonts w:ascii="Century Gothic" w:hAnsi="Century Gothic"/>
          <w:color w:val="000000" w:themeColor="text1"/>
          <w:sz w:val="32"/>
          <w:szCs w:val="32"/>
        </w:rPr>
        <w:t>Zabydrowic</w:t>
      </w:r>
      <w:proofErr w:type="spellEnd"/>
    </w:p>
    <w:p w:rsidR="001E7255" w:rsidRPr="001E7255" w:rsidRDefault="001E7255" w:rsidP="001E7255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="00F61BB3" w:rsidRPr="00F61BB3">
        <w:rPr>
          <w:rFonts w:ascii="Century Gothic" w:hAnsi="Century Gothic"/>
          <w:sz w:val="32"/>
          <w:szCs w:val="32"/>
        </w:rPr>
        <w:t>Prezentowany zegar charakteryzuje się nietypową obudową drewnianą, rzeźbioną i polichromowaną, w kształcie figury huzara węgierskiego. Mechanizm zegarowy z okrągłą tarczą zegarową, wykonany w Bochni, został wprawiony w korpus postaci.</w:t>
      </w:r>
    </w:p>
    <w:p w:rsidR="0069774B" w:rsidRDefault="0069774B"/>
    <w:p w:rsidR="00F61BB3" w:rsidRPr="0069774B" w:rsidRDefault="00F61BB3" w:rsidP="00F61BB3">
      <w:pPr>
        <w:jc w:val="center"/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</w:pPr>
      <w:r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  <w:lastRenderedPageBreak/>
        <w:t>Zegar stojący kominkowy</w:t>
      </w:r>
    </w:p>
    <w:p w:rsidR="00F61BB3" w:rsidRDefault="00F61BB3" w:rsidP="00F61BB3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322949</wp:posOffset>
            </wp:positionH>
            <wp:positionV relativeFrom="paragraph">
              <wp:posOffset>960</wp:posOffset>
            </wp:positionV>
            <wp:extent cx="4944140" cy="4944139"/>
            <wp:effectExtent l="0" t="0" r="0" b="0"/>
            <wp:wrapNone/>
            <wp:docPr id="10" name="Obraz 10" descr="Zegar stoj&amp;aogon;cy komin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gar stoj&amp;aogon;cy komink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49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/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Pr="00F61BB3" w:rsidRDefault="00F61BB3" w:rsidP="00F61BB3">
      <w:pPr>
        <w:ind w:left="-567" w:right="-426"/>
        <w:jc w:val="center"/>
        <w:rPr>
          <w:rFonts w:ascii="Century Gothic" w:hAnsi="Century Gothic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F61BB3">
        <w:rPr>
          <w:rFonts w:ascii="Century Gothic" w:hAnsi="Century Gothic"/>
          <w:sz w:val="32"/>
          <w:szCs w:val="32"/>
        </w:rPr>
        <w:t>XVIII/XIX w.</w:t>
      </w:r>
    </w:p>
    <w:p w:rsidR="00F61BB3" w:rsidRPr="0069774B" w:rsidRDefault="00F61BB3" w:rsidP="00F61BB3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-</w:t>
      </w:r>
    </w:p>
    <w:p w:rsidR="00F61BB3" w:rsidRPr="0069774B" w:rsidRDefault="00F61BB3" w:rsidP="00F61BB3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 xml:space="preserve">Muzeum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Ziemi Bieckiej</w:t>
      </w:r>
    </w:p>
    <w:p w:rsidR="00F61BB3" w:rsidRPr="0069774B" w:rsidRDefault="00F61BB3" w:rsidP="00F61BB3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-</w:t>
      </w:r>
    </w:p>
    <w:p w:rsidR="00F61BB3" w:rsidRPr="001E7255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Pr="00F61BB3">
        <w:rPr>
          <w:rFonts w:ascii="Century Gothic" w:hAnsi="Century Gothic"/>
          <w:sz w:val="28"/>
          <w:szCs w:val="28"/>
        </w:rPr>
        <w:t xml:space="preserve">Prezentowany zegar kominkowy został wykonany z jasnozielonego malachitu. Przyjmuje formę sześcianu ujętego po bokach dwoma podstawami, ustawiony na czterech nóżkach w postaci mosiężnych kul.  Na ściance frontowej znajduje się krągła, mosiężna tarcza, z przeszklonymi drzwiczkami, ujęta u spodu odlewanymi aplikami w postaci ornamentu roślinnego. Całość zwieńczona odlewaną figurką myśliwego ze strzelbą stojącego przy drzewie. Na bocznych podestach odlewane spływy wolutowe utworzone z </w:t>
      </w:r>
      <w:proofErr w:type="spellStart"/>
      <w:r w:rsidRPr="00F61BB3">
        <w:rPr>
          <w:rFonts w:ascii="Century Gothic" w:hAnsi="Century Gothic"/>
          <w:sz w:val="28"/>
          <w:szCs w:val="28"/>
        </w:rPr>
        <w:t>rocaille</w:t>
      </w:r>
      <w:proofErr w:type="spellEnd"/>
      <w:r w:rsidRPr="00F61BB3">
        <w:rPr>
          <w:rFonts w:ascii="Century Gothic" w:hAnsi="Century Gothic"/>
          <w:sz w:val="28"/>
          <w:szCs w:val="28"/>
        </w:rPr>
        <w:t xml:space="preserve"> i ornamentu roślinnego.</w:t>
      </w:r>
    </w:p>
    <w:p w:rsidR="00F61BB3" w:rsidRPr="00F61BB3" w:rsidRDefault="00F61BB3" w:rsidP="00F61BB3">
      <w:pPr>
        <w:jc w:val="center"/>
        <w:rPr>
          <w:rFonts w:ascii="Century Gothic" w:hAnsi="Century Gothic"/>
          <w:color w:val="FFFFFF" w:themeColor="background1"/>
          <w:sz w:val="48"/>
          <w:szCs w:val="48"/>
        </w:rPr>
      </w:pPr>
      <w:r w:rsidRPr="00F61BB3">
        <w:rPr>
          <w:rFonts w:ascii="Century Gothic" w:hAnsi="Century Gothic"/>
          <w:color w:val="FFFFFF" w:themeColor="background1"/>
          <w:sz w:val="48"/>
          <w:szCs w:val="48"/>
        </w:rPr>
        <w:lastRenderedPageBreak/>
        <w:t>Solniczka w kształcie figurki chłopca na łyżwach pchającego sanki</w:t>
      </w:r>
    </w:p>
    <w:p w:rsidR="00F61BB3" w:rsidRDefault="00F61BB3" w:rsidP="00F61BB3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652558</wp:posOffset>
            </wp:positionH>
            <wp:positionV relativeFrom="paragraph">
              <wp:posOffset>4327</wp:posOffset>
            </wp:positionV>
            <wp:extent cx="4944140" cy="4944139"/>
            <wp:effectExtent l="0" t="0" r="0" b="0"/>
            <wp:wrapNone/>
            <wp:docPr id="13" name="Obraz 13" descr="Solniczka w kszta&amp;lstrok;cie figurki ch&amp;lstrok;opca na &amp;lstrok;y&amp;zdot;wach pchaj&amp;aogon;cego 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lniczka w kszta&amp;lstrok;cie figurki ch&amp;lstrok;opca na &amp;lstrok;y&amp;zdot;wach pchaj&amp;aogon;cego san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49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F61BB3" w:rsidRPr="0069774B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XIX w.</w:t>
      </w:r>
    </w:p>
    <w:p w:rsidR="00F61BB3" w:rsidRDefault="00F61BB3" w:rsidP="00F61BB3">
      <w:pPr>
        <w:ind w:left="-567" w:right="-426"/>
        <w:jc w:val="center"/>
        <w:rPr>
          <w:rStyle w:val="labelcontent"/>
          <w:rFonts w:ascii="Century Gothic" w:hAnsi="Century Gothic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Frankfurt, Niemcy</w:t>
      </w:r>
    </w:p>
    <w:p w:rsidR="00F61BB3" w:rsidRPr="0069774B" w:rsidRDefault="00F61BB3" w:rsidP="00F61BB3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 xml:space="preserve">Muzeum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Żup Krakowskich w Wieliczce</w:t>
      </w:r>
    </w:p>
    <w:p w:rsidR="00F61BB3" w:rsidRPr="0069774B" w:rsidRDefault="00F61BB3" w:rsidP="00F61BB3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-</w:t>
      </w:r>
    </w:p>
    <w:p w:rsidR="00F61BB3" w:rsidRPr="001E7255" w:rsidRDefault="00F61BB3" w:rsidP="00F61BB3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="00E52064" w:rsidRPr="00E52064">
        <w:rPr>
          <w:rFonts w:ascii="Century Gothic" w:hAnsi="Century Gothic"/>
          <w:sz w:val="28"/>
          <w:szCs w:val="28"/>
        </w:rPr>
        <w:t xml:space="preserve">Solniczka </w:t>
      </w:r>
      <w:r w:rsidRPr="00E52064">
        <w:rPr>
          <w:rFonts w:ascii="Century Gothic" w:hAnsi="Century Gothic"/>
          <w:sz w:val="28"/>
          <w:szCs w:val="28"/>
        </w:rPr>
        <w:t>to faktycznie miniaturowa rzeźba. Wywołuje podziw dla precyzji XIX-wiecznego twórcy z Frankfurtu, który w mikroskopijnej skali kilkucentymetrowego dzieła potrafił opracować liczne, misterne detale i dekoracje. Chłopiec na łyżwach popycha fantazyjne sanie, które stanowią właściwy pojemnik na sól.</w:t>
      </w:r>
      <w:r w:rsidR="00E52064" w:rsidRPr="00E52064">
        <w:rPr>
          <w:rFonts w:ascii="Century Gothic" w:hAnsi="Century Gothic"/>
          <w:sz w:val="28"/>
          <w:szCs w:val="28"/>
        </w:rPr>
        <w:t xml:space="preserve"> Moda na takie dekoracyjne drobiazgi panowała szczególnie w XIX wieku. Wówczas chętnie sięgano do stylów z minionych epok.</w:t>
      </w:r>
    </w:p>
    <w:p w:rsidR="00E52064" w:rsidRPr="00F61BB3" w:rsidRDefault="00E52064" w:rsidP="00E52064">
      <w:pPr>
        <w:jc w:val="center"/>
        <w:rPr>
          <w:rFonts w:ascii="Century Gothic" w:hAnsi="Century Gothic"/>
          <w:color w:val="FFFFFF" w:themeColor="background1"/>
          <w:sz w:val="48"/>
          <w:szCs w:val="48"/>
        </w:rPr>
      </w:pPr>
      <w:r>
        <w:rPr>
          <w:rFonts w:ascii="Century Gothic" w:hAnsi="Century Gothic"/>
          <w:color w:val="FFFFFF" w:themeColor="background1"/>
          <w:sz w:val="48"/>
          <w:szCs w:val="48"/>
        </w:rPr>
        <w:lastRenderedPageBreak/>
        <w:t>Aparat fotograficzny atelierowy</w:t>
      </w:r>
    </w:p>
    <w:p w:rsidR="00E52064" w:rsidRDefault="00E52064" w:rsidP="00E52064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5080</wp:posOffset>
            </wp:positionV>
            <wp:extent cx="4946650" cy="4946650"/>
            <wp:effectExtent l="0" t="0" r="0" b="0"/>
            <wp:wrapNone/>
            <wp:docPr id="16" name="Obraz 16" descr="Aparat fotograficzny atelierowy wyprodukowany w Niemcz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arat fotograficzny atelierowy wyprodukowany w Niemcze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Pr="0069774B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1880-1900</w:t>
      </w:r>
    </w:p>
    <w:p w:rsidR="00E52064" w:rsidRDefault="00E52064" w:rsidP="00E52064">
      <w:pPr>
        <w:ind w:left="-567" w:right="-426"/>
        <w:jc w:val="center"/>
        <w:rPr>
          <w:rStyle w:val="labelcontent"/>
          <w:rFonts w:ascii="Century Gothic" w:hAnsi="Century Gothic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Niemcy</w:t>
      </w:r>
    </w:p>
    <w:p w:rsidR="00E52064" w:rsidRPr="0069774B" w:rsidRDefault="00E52064" w:rsidP="00E5206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E52064">
        <w:rPr>
          <w:rFonts w:ascii="Century Gothic" w:hAnsi="Century Gothic"/>
          <w:sz w:val="32"/>
          <w:szCs w:val="32"/>
        </w:rPr>
        <w:t>Muzeum Historii Fotografii im. Walerego Rzewuskiego w Krakowie</w:t>
      </w:r>
    </w:p>
    <w:p w:rsidR="00E52064" w:rsidRPr="0069774B" w:rsidRDefault="00E52064" w:rsidP="00E5206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-</w:t>
      </w:r>
    </w:p>
    <w:p w:rsidR="00E52064" w:rsidRPr="00E52064" w:rsidRDefault="00E52064" w:rsidP="00E52064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Pr="00E52064">
        <w:rPr>
          <w:rFonts w:ascii="Century Gothic" w:hAnsi="Century Gothic"/>
          <w:sz w:val="32"/>
          <w:szCs w:val="32"/>
        </w:rPr>
        <w:t xml:space="preserve">Aparat fotograficzny atelierowy na „suche” płyty szklane o maksymalnym formacie 18 x 24 cm, wyprodukowany w latach 80. XIX wieku przez nieznanego wytwórcę na terenie Niemiec. Obiektyw pochodzący z późniejszych lat (1890—1920) </w:t>
      </w:r>
      <w:proofErr w:type="spellStart"/>
      <w:r w:rsidRPr="00E52064">
        <w:rPr>
          <w:rFonts w:ascii="Century Gothic" w:hAnsi="Century Gothic"/>
          <w:sz w:val="32"/>
          <w:szCs w:val="32"/>
        </w:rPr>
        <w:t>Aristostigmat</w:t>
      </w:r>
      <w:proofErr w:type="spellEnd"/>
      <w:r w:rsidRPr="00E52064">
        <w:rPr>
          <w:rFonts w:ascii="Century Gothic" w:hAnsi="Century Gothic"/>
          <w:sz w:val="32"/>
          <w:szCs w:val="32"/>
        </w:rPr>
        <w:t xml:space="preserve"> 7 6,5/360 wyprodukowany w firmie Meyer </w:t>
      </w:r>
      <w:proofErr w:type="spellStart"/>
      <w:r w:rsidRPr="00E52064">
        <w:rPr>
          <w:rFonts w:ascii="Century Gothic" w:hAnsi="Century Gothic"/>
          <w:sz w:val="32"/>
          <w:szCs w:val="32"/>
        </w:rPr>
        <w:t>Optik</w:t>
      </w:r>
      <w:proofErr w:type="spellEnd"/>
      <w:r w:rsidRPr="00E52064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Pr="00E52064">
        <w:rPr>
          <w:rFonts w:ascii="Century Gothic" w:hAnsi="Century Gothic"/>
          <w:sz w:val="32"/>
          <w:szCs w:val="32"/>
        </w:rPr>
        <w:t>Görlitz</w:t>
      </w:r>
      <w:proofErr w:type="spellEnd"/>
      <w:r w:rsidRPr="00E52064">
        <w:rPr>
          <w:rFonts w:ascii="Century Gothic" w:hAnsi="Century Gothic"/>
          <w:sz w:val="32"/>
          <w:szCs w:val="32"/>
        </w:rPr>
        <w:t>.</w:t>
      </w:r>
    </w:p>
    <w:p w:rsidR="0069774B" w:rsidRDefault="0069774B"/>
    <w:p w:rsidR="00E52064" w:rsidRPr="00E52064" w:rsidRDefault="00E52064" w:rsidP="00E52064">
      <w:pPr>
        <w:jc w:val="center"/>
        <w:rPr>
          <w:rFonts w:ascii="Century Gothic" w:hAnsi="Century Gothic"/>
          <w:color w:val="FFFFFF" w:themeColor="background1"/>
          <w:sz w:val="52"/>
          <w:szCs w:val="52"/>
        </w:rPr>
      </w:pPr>
      <w:r w:rsidRPr="00E52064">
        <w:rPr>
          <w:rFonts w:ascii="Century Gothic" w:hAnsi="Century Gothic"/>
          <w:color w:val="FFFFFF" w:themeColor="background1"/>
          <w:sz w:val="52"/>
          <w:szCs w:val="52"/>
        </w:rPr>
        <w:lastRenderedPageBreak/>
        <w:t>Maska „</w:t>
      </w:r>
      <w:proofErr w:type="spellStart"/>
      <w:r w:rsidRPr="00E52064">
        <w:rPr>
          <w:rFonts w:ascii="Century Gothic" w:hAnsi="Century Gothic"/>
          <w:color w:val="FFFFFF" w:themeColor="background1"/>
          <w:sz w:val="52"/>
          <w:szCs w:val="52"/>
        </w:rPr>
        <w:t>ko-omote</w:t>
      </w:r>
      <w:proofErr w:type="spellEnd"/>
      <w:r w:rsidRPr="00E52064">
        <w:rPr>
          <w:rFonts w:ascii="Century Gothic" w:hAnsi="Century Gothic"/>
          <w:color w:val="FFFFFF" w:themeColor="background1"/>
          <w:sz w:val="52"/>
          <w:szCs w:val="52"/>
        </w:rPr>
        <w:t>” teatru „</w:t>
      </w:r>
      <w:proofErr w:type="spellStart"/>
      <w:r w:rsidRPr="00E52064">
        <w:rPr>
          <w:rFonts w:ascii="Century Gothic" w:hAnsi="Century Gothic"/>
          <w:color w:val="FFFFFF" w:themeColor="background1"/>
          <w:sz w:val="52"/>
          <w:szCs w:val="52"/>
        </w:rPr>
        <w:t>nō</w:t>
      </w:r>
      <w:proofErr w:type="spellEnd"/>
      <w:r w:rsidRPr="00E52064">
        <w:rPr>
          <w:rFonts w:ascii="Century Gothic" w:hAnsi="Century Gothic"/>
          <w:color w:val="FFFFFF" w:themeColor="background1"/>
          <w:sz w:val="52"/>
          <w:szCs w:val="52"/>
        </w:rPr>
        <w:t>”</w:t>
      </w:r>
    </w:p>
    <w:p w:rsidR="00E52064" w:rsidRDefault="00E52064" w:rsidP="00E52064">
      <w:pPr>
        <w:jc w:val="center"/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822679</wp:posOffset>
            </wp:positionH>
            <wp:positionV relativeFrom="paragraph">
              <wp:posOffset>724</wp:posOffset>
            </wp:positionV>
            <wp:extent cx="4338084" cy="4338083"/>
            <wp:effectExtent l="0" t="0" r="0" b="0"/>
            <wp:wrapNone/>
            <wp:docPr id="19" name="Obraz 19" descr="Maska „ko-omote” teatru „n&amp;omacr;” (typu „&amp;sacute;nieg”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ska „ko-omote” teatru „n&amp;omacr;” (typu „&amp;sacute;nieg”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43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:rsidR="00E52064" w:rsidRPr="0069774B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 xml:space="preserve">2. </w:t>
      </w:r>
      <w:proofErr w:type="spellStart"/>
      <w:r>
        <w:rPr>
          <w:rStyle w:val="labelcontent"/>
          <w:rFonts w:ascii="Century Gothic" w:hAnsi="Century Gothic"/>
          <w:sz w:val="32"/>
          <w:szCs w:val="32"/>
        </w:rPr>
        <w:t>poł</w:t>
      </w:r>
      <w:proofErr w:type="spellEnd"/>
      <w:r>
        <w:rPr>
          <w:rStyle w:val="labelcontent"/>
          <w:rFonts w:ascii="Century Gothic" w:hAnsi="Century Gothic"/>
          <w:sz w:val="32"/>
          <w:szCs w:val="32"/>
        </w:rPr>
        <w:t>. XX w.</w:t>
      </w:r>
    </w:p>
    <w:p w:rsidR="00E52064" w:rsidRDefault="00E52064" w:rsidP="00E52064">
      <w:pPr>
        <w:ind w:left="-567" w:right="-426"/>
        <w:jc w:val="center"/>
        <w:rPr>
          <w:rStyle w:val="labelcontent"/>
          <w:rFonts w:ascii="Century Gothic" w:hAnsi="Century Gothic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content"/>
          <w:rFonts w:ascii="Century Gothic" w:hAnsi="Century Gothic"/>
          <w:sz w:val="32"/>
          <w:szCs w:val="32"/>
        </w:rPr>
        <w:t>Japonia</w:t>
      </w:r>
    </w:p>
    <w:p w:rsidR="00E52064" w:rsidRPr="0069774B" w:rsidRDefault="00E52064" w:rsidP="00E5206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hyperlink r:id="rId11" w:history="1">
        <w:r w:rsidRPr="00E52064">
          <w:rPr>
            <w:rFonts w:ascii="Century Gothic" w:hAnsi="Century Gothic"/>
            <w:sz w:val="32"/>
            <w:szCs w:val="32"/>
          </w:rPr>
          <w:t xml:space="preserve">Muzeum Sztuki i Techniki Japońskiej </w:t>
        </w:r>
        <w:proofErr w:type="spellStart"/>
        <w:r w:rsidRPr="00E52064">
          <w:rPr>
            <w:rFonts w:ascii="Century Gothic" w:hAnsi="Century Gothic"/>
            <w:sz w:val="32"/>
            <w:szCs w:val="32"/>
          </w:rPr>
          <w:t>Manggha</w:t>
        </w:r>
        <w:proofErr w:type="spellEnd"/>
      </w:hyperlink>
    </w:p>
    <w:p w:rsidR="00E52064" w:rsidRPr="0069774B" w:rsidRDefault="00E52064" w:rsidP="00E5206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>
        <w:rPr>
          <w:rStyle w:val="label"/>
          <w:rFonts w:ascii="Century Gothic" w:hAnsi="Century Gothic"/>
          <w:color w:val="000000" w:themeColor="text1"/>
          <w:sz w:val="32"/>
          <w:szCs w:val="32"/>
        </w:rPr>
        <w:t>-</w:t>
      </w:r>
    </w:p>
    <w:p w:rsidR="00E52064" w:rsidRPr="001E7255" w:rsidRDefault="00E52064" w:rsidP="00E5206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Pr="00E52064">
        <w:rPr>
          <w:rFonts w:ascii="Century Gothic" w:hAnsi="Century Gothic"/>
          <w:sz w:val="32"/>
          <w:szCs w:val="32"/>
        </w:rPr>
        <w:t>W japońskim klasycznym teatrze </w:t>
      </w:r>
      <w:proofErr w:type="spellStart"/>
      <w:r w:rsidRPr="00E52064">
        <w:rPr>
          <w:rFonts w:ascii="Century Gothic" w:hAnsi="Century Gothic"/>
          <w:sz w:val="32"/>
          <w:szCs w:val="32"/>
        </w:rPr>
        <w:t>nō</w:t>
      </w:r>
      <w:proofErr w:type="spellEnd"/>
      <w:r w:rsidRPr="00E52064">
        <w:rPr>
          <w:rFonts w:ascii="Century Gothic" w:hAnsi="Century Gothic"/>
          <w:sz w:val="32"/>
          <w:szCs w:val="32"/>
        </w:rPr>
        <w:t> maska jest najważniejszym atrybutem aktora pierwszoplanowego </w:t>
      </w:r>
      <w:proofErr w:type="spellStart"/>
      <w:r w:rsidRPr="00E52064">
        <w:rPr>
          <w:rFonts w:ascii="Century Gothic" w:hAnsi="Century Gothic"/>
          <w:sz w:val="32"/>
          <w:szCs w:val="32"/>
        </w:rPr>
        <w:t>shite</w:t>
      </w:r>
      <w:proofErr w:type="spellEnd"/>
      <w:r w:rsidRPr="00E52064">
        <w:rPr>
          <w:rFonts w:ascii="Century Gothic" w:hAnsi="Century Gothic"/>
          <w:sz w:val="32"/>
          <w:szCs w:val="32"/>
        </w:rPr>
        <w:t>. To dzięki niej aktor może wcielić się w postać ze świata realnego (np. wojownika, młodej kobiety, starca) czy ponadnaturalnego (demona, bóstwa, niebianki itp.).</w:t>
      </w:r>
    </w:p>
    <w:p w:rsidR="0069774B" w:rsidRDefault="0069774B"/>
    <w:p w:rsidR="0069774B" w:rsidRDefault="0069774B"/>
    <w:p w:rsidR="00BE20B4" w:rsidRPr="0069774B" w:rsidRDefault="00BE20B4" w:rsidP="00BE20B4">
      <w:pPr>
        <w:jc w:val="center"/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</w:pPr>
      <w:r w:rsidRPr="0069774B">
        <w:rPr>
          <w:rFonts w:ascii="Century Gothic" w:hAnsi="Century Gothic"/>
          <w:noProof/>
          <w:color w:val="F2F2F2" w:themeColor="background1" w:themeShade="F2"/>
          <w:kern w:val="36"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246838</wp:posOffset>
            </wp:positionV>
            <wp:extent cx="5603358" cy="5603358"/>
            <wp:effectExtent l="0" t="0" r="0" b="0"/>
            <wp:wrapNone/>
            <wp:docPr id="11" name="Obraz 1" descr="Telewizor czarno-bia&amp;lstrok;y „Belweder” — model OT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wizor czarno-bia&amp;lstrok;y „Belweder” — model OT 17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560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74B"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  <w:t xml:space="preserve">Telewizor </w:t>
      </w:r>
      <w:r w:rsidRPr="0069774B">
        <w:rPr>
          <w:rFonts w:ascii="Century Gothic" w:hAnsi="Century Gothic"/>
          <w:color w:val="000000" w:themeColor="text1"/>
          <w:kern w:val="36"/>
          <w:sz w:val="56"/>
          <w:szCs w:val="56"/>
          <w:lang w:eastAsia="pl-PL"/>
        </w:rPr>
        <w:t>czarno</w:t>
      </w:r>
      <w:r w:rsidRPr="0069774B">
        <w:rPr>
          <w:rFonts w:ascii="Century Gothic" w:hAnsi="Century Gothic"/>
          <w:color w:val="F2F2F2" w:themeColor="background1" w:themeShade="F2"/>
          <w:kern w:val="36"/>
          <w:sz w:val="56"/>
          <w:szCs w:val="56"/>
          <w:lang w:eastAsia="pl-PL"/>
        </w:rPr>
        <w:t>-biały „Belweder”</w:t>
      </w:r>
    </w:p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Default="00BE20B4" w:rsidP="00BE20B4"/>
    <w:p w:rsidR="00BE20B4" w:rsidRPr="0069774B" w:rsidRDefault="00BE20B4" w:rsidP="00BE20B4">
      <w:pPr>
        <w:ind w:left="-567" w:right="-426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Fonts w:ascii="Century Gothic" w:hAnsi="Century Gothic"/>
          <w:b/>
          <w:color w:val="FFFFFF" w:themeColor="background1"/>
          <w:sz w:val="32"/>
          <w:szCs w:val="32"/>
        </w:rPr>
        <w:t>Czas powstania: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Fonts w:ascii="Century Gothic" w:hAnsi="Century Gothic"/>
          <w:color w:val="000000" w:themeColor="text1"/>
          <w:sz w:val="32"/>
          <w:szCs w:val="32"/>
        </w:rPr>
        <w:t>1959</w:t>
      </w:r>
    </w:p>
    <w:p w:rsidR="00BE20B4" w:rsidRPr="0069774B" w:rsidRDefault="00BE20B4" w:rsidP="00BE20B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Miejsce powstania: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>Warszawa</w:t>
      </w:r>
    </w:p>
    <w:p w:rsidR="00BE20B4" w:rsidRPr="0069774B" w:rsidRDefault="00BE20B4" w:rsidP="00BE20B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Muzeum: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>Muzeum Inżynierii Miejskiej</w:t>
      </w:r>
    </w:p>
    <w:p w:rsidR="00BE20B4" w:rsidRPr="0069774B" w:rsidRDefault="00BE20B4" w:rsidP="00BE20B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Twórca: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774B">
        <w:rPr>
          <w:rStyle w:val="label"/>
          <w:rFonts w:ascii="Century Gothic" w:hAnsi="Century Gothic"/>
          <w:color w:val="000000" w:themeColor="text1"/>
          <w:sz w:val="32"/>
          <w:szCs w:val="32"/>
        </w:rPr>
        <w:t>Warszawskie Zakłady Telewizyjne</w:t>
      </w:r>
    </w:p>
    <w:p w:rsidR="00BE20B4" w:rsidRPr="0069774B" w:rsidRDefault="00BE20B4" w:rsidP="00BE20B4">
      <w:pPr>
        <w:ind w:left="-567" w:right="-426"/>
        <w:jc w:val="center"/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</w:pPr>
      <w:r w:rsidRPr="0069774B"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>Opis:</w:t>
      </w:r>
      <w:r>
        <w:rPr>
          <w:rStyle w:val="label"/>
          <w:rFonts w:ascii="Century Gothic" w:hAnsi="Century Gothic"/>
          <w:b/>
          <w:color w:val="FFFFFF" w:themeColor="background1"/>
          <w:sz w:val="32"/>
          <w:szCs w:val="32"/>
        </w:rPr>
        <w:t xml:space="preserve">  </w:t>
      </w:r>
      <w:r w:rsidRPr="0069774B">
        <w:rPr>
          <w:rFonts w:ascii="Century Gothic" w:hAnsi="Century Gothic"/>
          <w:sz w:val="32"/>
          <w:szCs w:val="32"/>
        </w:rPr>
        <w:t>Czarno-biały telewizor „Belweder” jest drugim po „Wiśle” odbiornikiem telewizyjnym produkowanym i pierwszym opracowanym w całości w Polsce. Prace laboratoryjne nad telewizorem rozpoczęto w 1955 roku z założeniem, że będzie on wykonany w technologii dostępnej w kraju, w przeciwieństwie do „Wisły” — produkowanej na licencji i częściach radzieckich.</w:t>
      </w:r>
    </w:p>
    <w:p w:rsidR="0069774B" w:rsidRDefault="0069774B"/>
    <w:p w:rsidR="0069774B" w:rsidRDefault="0069774B"/>
    <w:sectPr w:rsidR="0069774B" w:rsidSect="0069774B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CD27B8"/>
    <w:rsid w:val="001E7255"/>
    <w:rsid w:val="0069774B"/>
    <w:rsid w:val="007D44EB"/>
    <w:rsid w:val="00BE20B4"/>
    <w:rsid w:val="00CD27B8"/>
    <w:rsid w:val="00E52064"/>
    <w:rsid w:val="00F6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5576,#576f9b,#7a8fb4"/>
      <o:colormenu v:ext="edit" fillcolor="#7a8fb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44EB"/>
  </w:style>
  <w:style w:type="paragraph" w:styleId="Nagwek1">
    <w:name w:val="heading 1"/>
    <w:basedOn w:val="Normalny"/>
    <w:link w:val="Nagwek1Znak"/>
    <w:uiPriority w:val="9"/>
    <w:qFormat/>
    <w:rsid w:val="00CD2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2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D27B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label">
    <w:name w:val="label"/>
    <w:basedOn w:val="Domylnaczcionkaakapitu"/>
    <w:rsid w:val="0069774B"/>
  </w:style>
  <w:style w:type="character" w:customStyle="1" w:styleId="labelcontent">
    <w:name w:val="label_content"/>
    <w:basedOn w:val="Domylnaczcionkaakapitu"/>
    <w:rsid w:val="001E7255"/>
  </w:style>
  <w:style w:type="character" w:customStyle="1" w:styleId="object-article-intro">
    <w:name w:val="object-article-intro"/>
    <w:basedOn w:val="Domylnaczcionkaakapitu"/>
    <w:rsid w:val="001E7255"/>
  </w:style>
  <w:style w:type="character" w:styleId="Uwydatnienie">
    <w:name w:val="Emphasis"/>
    <w:basedOn w:val="Domylnaczcionkaakapitu"/>
    <w:uiPriority w:val="20"/>
    <w:qFormat/>
    <w:rsid w:val="00F61BB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E520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muzea.malopolska.pl/muzeum/muzeum-sztuki-i-techniki-japonskiej-manggh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A1960-1EA6-49BD-85E4-0683837C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538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2015-01-11T16:03:00Z</dcterms:created>
  <dcterms:modified xsi:type="dcterms:W3CDTF">2015-01-11T17:34:00Z</dcterms:modified>
</cp:coreProperties>
</file>